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AE66" w14:textId="77777777" w:rsidR="00CF49AF" w:rsidRDefault="00CF49AF" w:rsidP="009403DF">
      <w:pPr>
        <w:shd w:val="clear" w:color="auto" w:fill="EBEAEA"/>
        <w:spacing w:after="120" w:line="336" w:lineRule="atLeast"/>
        <w:outlineLvl w:val="1"/>
        <w:rPr>
          <w:rFonts w:ascii="Georgia" w:hAnsi="Georgia"/>
          <w:b/>
          <w:bCs/>
          <w:color w:val="515151"/>
          <w:sz w:val="27"/>
          <w:szCs w:val="27"/>
          <w:lang w:eastAsia="en-GB"/>
        </w:rPr>
      </w:pPr>
      <w:r>
        <w:rPr>
          <w:rFonts w:ascii="Verdana" w:hAnsi="Verdana"/>
          <w:b/>
          <w:color w:val="0492C7"/>
          <w:sz w:val="28"/>
          <w:szCs w:val="28"/>
        </w:rPr>
        <w:t xml:space="preserve">Owning Bank: </w:t>
      </w:r>
      <w:r>
        <w:rPr>
          <w:rFonts w:ascii="Verdana" w:hAnsi="Verdana"/>
          <w:color w:val="0492C7"/>
          <w:sz w:val="28"/>
          <w:szCs w:val="28"/>
        </w:rPr>
        <w:t>Tadhamon Bank</w:t>
      </w:r>
    </w:p>
    <w:p w14:paraId="7CE24316" w14:textId="77777777" w:rsidR="00CF49AF" w:rsidRPr="009403DF" w:rsidRDefault="00CF49AF" w:rsidP="009403DF">
      <w:pPr>
        <w:shd w:val="clear" w:color="auto" w:fill="EBEAEA"/>
        <w:spacing w:after="120" w:line="336" w:lineRule="atLeast"/>
        <w:outlineLvl w:val="1"/>
        <w:rPr>
          <w:rFonts w:ascii="Georgia" w:hAnsi="Georgia"/>
          <w:b/>
          <w:bCs/>
          <w:color w:val="515151"/>
          <w:sz w:val="27"/>
          <w:szCs w:val="27"/>
          <w:lang w:eastAsia="en-GB"/>
        </w:rPr>
      </w:pPr>
      <w:r>
        <w:rPr>
          <w:rFonts w:ascii="Verdana" w:hAnsi="Verdana"/>
          <w:b/>
          <w:color w:val="515151"/>
          <w:sz w:val="26"/>
          <w:szCs w:val="26"/>
        </w:rPr>
        <w:t xml:space="preserve">Location of SSIs: </w:t>
      </w:r>
      <w:r w:rsidRPr="009403DF">
        <w:rPr>
          <w:rFonts w:ascii="Verdana" w:hAnsi="Verdana"/>
          <w:color w:val="515151"/>
          <w:sz w:val="26"/>
          <w:szCs w:val="26"/>
          <w:lang w:eastAsia="en-GB"/>
        </w:rPr>
        <w:t xml:space="preserve">Republic of Yemen, </w:t>
      </w:r>
      <w:r>
        <w:rPr>
          <w:rFonts w:ascii="Verdana" w:hAnsi="Verdana"/>
          <w:color w:val="515151"/>
          <w:sz w:val="26"/>
          <w:szCs w:val="26"/>
          <w:lang w:eastAsia="en-GB"/>
        </w:rPr>
        <w:t xml:space="preserve">Sana'a, </w:t>
      </w:r>
      <w:r w:rsidRPr="009403DF">
        <w:rPr>
          <w:rFonts w:ascii="Verdana" w:hAnsi="Verdana"/>
          <w:color w:val="515151"/>
          <w:sz w:val="26"/>
          <w:szCs w:val="26"/>
          <w:lang w:eastAsia="en-GB"/>
        </w:rPr>
        <w:t>Head Office</w:t>
      </w:r>
    </w:p>
    <w:p w14:paraId="0F34A080" w14:textId="3CA87581" w:rsidR="00CF49AF" w:rsidRPr="00F851A7" w:rsidRDefault="00CF49AF" w:rsidP="00860BCE">
      <w:pPr>
        <w:shd w:val="clear" w:color="auto" w:fill="EBEAEA"/>
        <w:spacing w:line="336" w:lineRule="atLeast"/>
        <w:rPr>
          <w:rFonts w:ascii="Verdana" w:hAnsi="Verdana"/>
          <w:color w:val="222222"/>
          <w:sz w:val="19"/>
          <w:szCs w:val="19"/>
          <w:lang w:eastAsia="en-GB"/>
        </w:rPr>
      </w:pPr>
      <w:r w:rsidRPr="00F851A7">
        <w:rPr>
          <w:rFonts w:ascii="Verdana" w:hAnsi="Verdana"/>
          <w:color w:val="222222"/>
          <w:sz w:val="19"/>
          <w:szCs w:val="19"/>
          <w:lang w:eastAsia="en-GB"/>
        </w:rPr>
        <w:t xml:space="preserve">Last updated on: </w:t>
      </w:r>
      <w:r w:rsidR="00BC2673">
        <w:rPr>
          <w:rFonts w:ascii="Verdana" w:hAnsi="Verdana"/>
          <w:b/>
          <w:bCs/>
          <w:color w:val="222222"/>
          <w:sz w:val="19"/>
          <w:szCs w:val="19"/>
          <w:lang w:eastAsia="en-GB"/>
        </w:rPr>
        <w:t>04 August</w:t>
      </w:r>
      <w:r w:rsidRPr="00F851A7">
        <w:rPr>
          <w:rFonts w:ascii="Verdana" w:hAnsi="Verdana"/>
          <w:b/>
          <w:bCs/>
          <w:color w:val="222222"/>
          <w:sz w:val="19"/>
          <w:szCs w:val="19"/>
          <w:lang w:eastAsia="en-GB"/>
        </w:rPr>
        <w:t xml:space="preserve"> </w:t>
      </w:r>
      <w:r w:rsidR="00BC2673">
        <w:rPr>
          <w:rFonts w:ascii="Verdana" w:hAnsi="Verdana"/>
          <w:b/>
          <w:bCs/>
          <w:color w:val="222222"/>
          <w:sz w:val="19"/>
          <w:szCs w:val="19"/>
          <w:lang w:eastAsia="en-GB"/>
        </w:rPr>
        <w:t>2022</w:t>
      </w:r>
    </w:p>
    <w:p w14:paraId="70FE0B90" w14:textId="77777777" w:rsidR="00CF49AF" w:rsidRDefault="00CF49AF" w:rsidP="009403DF">
      <w:pPr>
        <w:shd w:val="clear" w:color="auto" w:fill="EBEAEA"/>
        <w:spacing w:line="336" w:lineRule="atLeast"/>
        <w:rPr>
          <w:rFonts w:ascii="Verdana" w:hAnsi="Verdana"/>
          <w:b/>
          <w:bCs/>
          <w:color w:val="222222"/>
          <w:sz w:val="19"/>
          <w:szCs w:val="19"/>
          <w:lang w:eastAsia="en-GB"/>
        </w:rPr>
      </w:pPr>
      <w:r w:rsidRPr="00F851A7">
        <w:rPr>
          <w:rFonts w:ascii="Verdana" w:hAnsi="Verdana"/>
          <w:b/>
          <w:bCs/>
          <w:color w:val="222222"/>
          <w:sz w:val="19"/>
          <w:szCs w:val="19"/>
          <w:lang w:eastAsia="en-GB"/>
        </w:rPr>
        <w:t xml:space="preserve">For settlement through: </w:t>
      </w:r>
      <w:r w:rsidRPr="00F851A7">
        <w:rPr>
          <w:rFonts w:ascii="Verdana" w:hAnsi="Verdana"/>
          <w:b/>
          <w:bCs/>
          <w:color w:val="FF5A00"/>
          <w:sz w:val="19"/>
          <w:szCs w:val="19"/>
          <w:lang w:eastAsia="en-GB"/>
        </w:rPr>
        <w:t xml:space="preserve">TIBK YE SA </w:t>
      </w:r>
      <w:r w:rsidRPr="00F851A7">
        <w:rPr>
          <w:rFonts w:ascii="Verdana" w:hAnsi="Verdana"/>
          <w:b/>
          <w:bCs/>
          <w:color w:val="222222"/>
          <w:sz w:val="19"/>
          <w:szCs w:val="19"/>
          <w:lang w:eastAsia="en-GB"/>
        </w:rPr>
        <w:t>(CP, FX)</w:t>
      </w:r>
    </w:p>
    <w:p w14:paraId="5D0E94F0" w14:textId="77777777" w:rsidR="00CF49AF" w:rsidRPr="009403DF" w:rsidRDefault="00CF49AF" w:rsidP="009403DF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vanish/>
          <w:sz w:val="16"/>
          <w:szCs w:val="16"/>
          <w:lang w:eastAsia="en-GB"/>
        </w:rPr>
      </w:pPr>
      <w:r w:rsidRPr="009403DF">
        <w:rPr>
          <w:rFonts w:ascii="Arial" w:hAnsi="Arial" w:cs="Arial"/>
          <w:vanish/>
          <w:sz w:val="16"/>
          <w:szCs w:val="16"/>
          <w:lang w:eastAsia="en-GB"/>
        </w:rPr>
        <w:t>Top of Form</w:t>
      </w:r>
    </w:p>
    <w:p w14:paraId="13749E52" w14:textId="77777777" w:rsidR="00CF49AF" w:rsidRPr="009403DF" w:rsidRDefault="00CF49AF" w:rsidP="009403DF">
      <w:pPr>
        <w:pBdr>
          <w:top w:val="single" w:sz="6" w:space="1" w:color="auto"/>
        </w:pBdr>
        <w:spacing w:line="240" w:lineRule="auto"/>
        <w:jc w:val="center"/>
        <w:rPr>
          <w:rFonts w:ascii="Arial" w:hAnsi="Arial" w:cs="Arial"/>
          <w:vanish/>
          <w:sz w:val="16"/>
          <w:szCs w:val="16"/>
          <w:lang w:eastAsia="en-GB"/>
        </w:rPr>
      </w:pPr>
      <w:r w:rsidRPr="009403DF">
        <w:rPr>
          <w:rFonts w:ascii="Arial" w:hAnsi="Arial" w:cs="Arial"/>
          <w:vanish/>
          <w:sz w:val="16"/>
          <w:szCs w:val="16"/>
          <w:lang w:eastAsia="en-GB"/>
        </w:rPr>
        <w:t>Bottom of Form</w:t>
      </w:r>
    </w:p>
    <w:p w14:paraId="7BEA6F2D" w14:textId="77777777" w:rsidR="00CF49AF" w:rsidRPr="009403DF" w:rsidRDefault="00CF49AF" w:rsidP="009403DF">
      <w:pPr>
        <w:shd w:val="clear" w:color="auto" w:fill="EBEAEA"/>
        <w:spacing w:line="336" w:lineRule="atLeast"/>
        <w:rPr>
          <w:rFonts w:ascii="Verdana" w:hAnsi="Verdana"/>
          <w:color w:val="222222"/>
          <w:sz w:val="15"/>
          <w:szCs w:val="15"/>
          <w:lang w:eastAsia="en-GB"/>
        </w:rPr>
      </w:pPr>
      <w:r w:rsidRPr="009403DF">
        <w:rPr>
          <w:rFonts w:ascii="Verdana" w:hAnsi="Verdana"/>
          <w:b/>
          <w:bCs/>
          <w:color w:val="222222"/>
          <w:sz w:val="15"/>
          <w:szCs w:val="15"/>
          <w:lang w:eastAsia="en-GB"/>
        </w:rPr>
        <w:t>CP</w:t>
      </w:r>
      <w:r w:rsidRPr="009403DF">
        <w:rPr>
          <w:rFonts w:ascii="Verdana" w:hAnsi="Verdana"/>
          <w:color w:val="222222"/>
          <w:sz w:val="15"/>
          <w:szCs w:val="15"/>
          <w:lang w:eastAsia="en-GB"/>
        </w:rPr>
        <w:t xml:space="preserve"> = Commercial Payments </w:t>
      </w:r>
      <w:r w:rsidRPr="009403DF">
        <w:rPr>
          <w:rFonts w:ascii="Verdana" w:hAnsi="Verdana"/>
          <w:b/>
          <w:bCs/>
          <w:color w:val="222222"/>
          <w:sz w:val="15"/>
          <w:szCs w:val="15"/>
          <w:lang w:eastAsia="en-GB"/>
        </w:rPr>
        <w:t>FX</w:t>
      </w:r>
      <w:r w:rsidRPr="009403DF">
        <w:rPr>
          <w:rFonts w:ascii="Verdana" w:hAnsi="Verdana"/>
          <w:color w:val="222222"/>
          <w:sz w:val="15"/>
          <w:szCs w:val="15"/>
          <w:lang w:eastAsia="en-GB"/>
        </w:rPr>
        <w:t xml:space="preserve"> = Foreign Exchange </w:t>
      </w:r>
      <w:r w:rsidRPr="009403DF">
        <w:rPr>
          <w:rFonts w:ascii="Verdana" w:hAnsi="Verdana"/>
          <w:b/>
          <w:bCs/>
          <w:color w:val="222222"/>
          <w:sz w:val="15"/>
          <w:szCs w:val="15"/>
          <w:lang w:eastAsia="en-GB"/>
        </w:rPr>
        <w:t>MM</w:t>
      </w:r>
      <w:r w:rsidRPr="009403DF">
        <w:rPr>
          <w:rFonts w:ascii="Verdana" w:hAnsi="Verdana"/>
          <w:color w:val="222222"/>
          <w:sz w:val="15"/>
          <w:szCs w:val="15"/>
          <w:lang w:eastAsia="en-GB"/>
        </w:rPr>
        <w:t xml:space="preserve"> = Money Markets </w:t>
      </w:r>
    </w:p>
    <w:p w14:paraId="6BB804CF" w14:textId="77777777" w:rsidR="00CF49AF" w:rsidRPr="00F11FAA" w:rsidRDefault="00CF49AF" w:rsidP="00F851A7">
      <w:pPr>
        <w:shd w:val="clear" w:color="auto" w:fill="EBEAEA"/>
        <w:rPr>
          <w:rFonts w:ascii="Verdana" w:hAnsi="Verdana"/>
          <w:color w:val="222222"/>
          <w:sz w:val="15"/>
          <w:szCs w:val="15"/>
          <w:lang w:eastAsia="en-GB"/>
        </w:rPr>
      </w:pPr>
      <w:r w:rsidRPr="00F11FAA">
        <w:rPr>
          <w:rFonts w:ascii="Verdana" w:hAnsi="Verdana"/>
          <w:color w:val="222222"/>
          <w:sz w:val="15"/>
          <w:szCs w:val="15"/>
          <w:lang w:eastAsia="en-GB"/>
        </w:rPr>
        <w:t>* = Preferred correspondent for this currency</w:t>
      </w:r>
    </w:p>
    <w:p w14:paraId="0D9D75F5" w14:textId="77777777" w:rsidR="009C1C9D" w:rsidRDefault="00513C8B" w:rsidP="009C1C9D">
      <w:pPr>
        <w:shd w:val="clear" w:color="auto" w:fill="EBEAEA"/>
        <w:rPr>
          <w:rFonts w:ascii="Verdana" w:hAnsi="Verdana"/>
          <w:b/>
          <w:color w:val="222222"/>
          <w:sz w:val="15"/>
          <w:szCs w:val="15"/>
          <w:lang w:eastAsia="en-GB"/>
        </w:rPr>
      </w:pPr>
    </w:p>
    <w:p w14:paraId="6CC2FC1C" w14:textId="77777777" w:rsidR="009C1C9D" w:rsidRDefault="006976F3" w:rsidP="009C1C9D">
      <w:pPr>
        <w:shd w:val="clear" w:color="auto" w:fill="EBEAEA"/>
        <w:rPr>
          <w:rFonts w:ascii="Verdana" w:hAnsi="Verdana"/>
          <w:color w:val="222222"/>
          <w:sz w:val="15"/>
          <w:szCs w:val="15"/>
          <w:lang w:eastAsia="en-GB"/>
        </w:rPr>
      </w:pPr>
      <w:r w:rsidRPr="004524BF">
        <w:rPr>
          <w:rFonts w:ascii="Verdana" w:hAnsi="Verdana"/>
          <w:b/>
          <w:color w:val="222222"/>
          <w:sz w:val="15"/>
          <w:szCs w:val="15"/>
          <w:lang w:eastAsia="en-GB"/>
        </w:rPr>
        <w:t>Correspondent/Clearer Bank</w:t>
      </w:r>
      <w:r>
        <w:rPr>
          <w:rFonts w:ascii="Verdana" w:hAnsi="Verdana"/>
          <w:color w:val="222222"/>
          <w:sz w:val="15"/>
          <w:szCs w:val="15"/>
          <w:lang w:eastAsia="en-GB"/>
        </w:rPr>
        <w:t xml:space="preserve"> = the bank that clears the payment (specified by the currency and transaction type) on behalf of the beneficiary or intermediary/holder bank.</w:t>
      </w:r>
    </w:p>
    <w:p w14:paraId="0F4EC2A6" w14:textId="77777777" w:rsidR="00122F6F" w:rsidRDefault="00513C8B" w:rsidP="00F851A7">
      <w:pPr>
        <w:shd w:val="clear" w:color="auto" w:fill="EBEAEA"/>
        <w:rPr>
          <w:rFonts w:ascii="Verdana" w:hAnsi="Verdana"/>
          <w:color w:val="222222"/>
          <w:sz w:val="15"/>
          <w:szCs w:val="15"/>
          <w:lang w:eastAsia="en-GB"/>
        </w:rPr>
      </w:pPr>
    </w:p>
    <w:p w14:paraId="5B8E132D" w14:textId="77777777" w:rsidR="009C1C9D" w:rsidRPr="004524BF" w:rsidRDefault="006976F3" w:rsidP="009C1C9D">
      <w:pPr>
        <w:shd w:val="clear" w:color="auto" w:fill="EBEAEA"/>
        <w:rPr>
          <w:rFonts w:ascii="Verdana" w:hAnsi="Verdana"/>
          <w:b/>
          <w:color w:val="222222"/>
          <w:sz w:val="15"/>
          <w:szCs w:val="15"/>
          <w:lang w:eastAsia="en-GB"/>
        </w:rPr>
      </w:pPr>
      <w:r w:rsidRPr="004524BF">
        <w:rPr>
          <w:rFonts w:ascii="Verdana" w:hAnsi="Verdana"/>
          <w:b/>
          <w:color w:val="222222"/>
          <w:sz w:val="15"/>
          <w:szCs w:val="15"/>
          <w:lang w:eastAsia="en-GB"/>
        </w:rPr>
        <w:t>Intermediary/Holder Bank</w:t>
      </w:r>
      <w:r>
        <w:rPr>
          <w:rFonts w:ascii="Verdana" w:hAnsi="Verdana"/>
          <w:b/>
          <w:color w:val="222222"/>
          <w:sz w:val="15"/>
          <w:szCs w:val="15"/>
          <w:lang w:eastAsia="en-GB"/>
        </w:rPr>
        <w:t xml:space="preserve"> </w:t>
      </w:r>
      <w:r w:rsidRPr="004524BF">
        <w:rPr>
          <w:rFonts w:ascii="Verdana" w:hAnsi="Verdana"/>
          <w:color w:val="222222"/>
          <w:sz w:val="15"/>
          <w:szCs w:val="15"/>
          <w:lang w:eastAsia="en-GB"/>
        </w:rPr>
        <w:t>=</w:t>
      </w:r>
      <w:r>
        <w:rPr>
          <w:rFonts w:ascii="Verdana" w:hAnsi="Verdana"/>
          <w:color w:val="222222"/>
          <w:sz w:val="15"/>
          <w:szCs w:val="15"/>
          <w:lang w:eastAsia="en-GB"/>
        </w:rPr>
        <w:t xml:space="preserve"> the bank that holds a direct account with the Correspondent/Clearer Bank on behalf of the beneficiary institution. Please include in ‘Additional Routing Info’ if necessary.</w:t>
      </w:r>
      <w:r w:rsidRPr="009C1C9D">
        <w:rPr>
          <w:rFonts w:ascii="Verdana" w:hAnsi="Verdana"/>
          <w:color w:val="222222"/>
          <w:sz w:val="15"/>
          <w:szCs w:val="15"/>
          <w:lang w:eastAsia="en-GB"/>
        </w:rPr>
        <w:t xml:space="preserve"> </w:t>
      </w:r>
    </w:p>
    <w:p w14:paraId="74827A04" w14:textId="77777777" w:rsidR="00122F6F" w:rsidRDefault="00513C8B" w:rsidP="00F851A7">
      <w:pPr>
        <w:shd w:val="clear" w:color="auto" w:fill="EBEAEA"/>
        <w:rPr>
          <w:rFonts w:ascii="Verdana" w:hAnsi="Verdana"/>
          <w:color w:val="222222"/>
          <w:sz w:val="15"/>
          <w:szCs w:val="15"/>
          <w:lang w:eastAsia="en-GB"/>
        </w:rPr>
      </w:pPr>
    </w:p>
    <w:tbl>
      <w:tblPr>
        <w:tblW w:w="5000" w:type="pct"/>
        <w:tblCellSpacing w:w="0" w:type="dxa"/>
        <w:tblBorders>
          <w:top w:val="single" w:sz="6" w:space="0" w:color="EBEAEA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5"/>
        <w:gridCol w:w="5106"/>
        <w:gridCol w:w="3048"/>
        <w:gridCol w:w="2691"/>
        <w:gridCol w:w="505"/>
        <w:gridCol w:w="496"/>
        <w:gridCol w:w="586"/>
        <w:gridCol w:w="825"/>
      </w:tblGrid>
      <w:tr w:rsidR="00E03A8D" w:rsidRPr="009403DF" w14:paraId="393C7F3C" w14:textId="77777777" w:rsidTr="00AA1E99">
        <w:trPr>
          <w:tblHeader/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A1A1A1"/>
              <w:right w:val="single" w:sz="6" w:space="0" w:color="A1A1A1"/>
            </w:tcBorders>
            <w:shd w:val="clear" w:color="auto" w:fill="929292"/>
            <w:tcMar>
              <w:top w:w="45" w:type="dxa"/>
              <w:left w:w="90" w:type="dxa"/>
              <w:bottom w:w="90" w:type="dxa"/>
              <w:right w:w="90" w:type="dxa"/>
            </w:tcMar>
            <w:vAlign w:val="center"/>
          </w:tcPr>
          <w:p w14:paraId="4C8FCF0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</w:pPr>
            <w:hyperlink w:anchor="ssi" w:tooltip="Sort by currency, A - Z" w:history="1">
              <w:proofErr w:type="spellStart"/>
              <w:r w:rsidRPr="009403DF"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Curr</w:t>
              </w:r>
              <w:proofErr w:type="spellEnd"/>
            </w:hyperlink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A1A1A1"/>
              <w:right w:val="single" w:sz="6" w:space="0" w:color="A1A1A1"/>
            </w:tcBorders>
            <w:shd w:val="clear" w:color="auto" w:fill="929292"/>
            <w:tcMar>
              <w:top w:w="45" w:type="dxa"/>
              <w:left w:w="90" w:type="dxa"/>
              <w:bottom w:w="90" w:type="dxa"/>
              <w:right w:w="90" w:type="dxa"/>
            </w:tcMar>
            <w:vAlign w:val="center"/>
          </w:tcPr>
          <w:p w14:paraId="44064F2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  <w:t xml:space="preserve">Correspondent </w:t>
            </w:r>
            <w:hyperlink w:anchor="ssi" w:tooltip="Sort by bank, A - Z" w:history="1">
              <w:r w:rsidRPr="009403DF"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Bank</w:t>
              </w:r>
            </w:hyperlink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A1A1A1"/>
              <w:right w:val="single" w:sz="6" w:space="0" w:color="A1A1A1"/>
            </w:tcBorders>
            <w:shd w:val="clear" w:color="auto" w:fill="929292"/>
            <w:tcMar>
              <w:top w:w="45" w:type="dxa"/>
              <w:left w:w="90" w:type="dxa"/>
              <w:bottom w:w="90" w:type="dxa"/>
              <w:right w:w="90" w:type="dxa"/>
            </w:tcMar>
            <w:vAlign w:val="center"/>
          </w:tcPr>
          <w:p w14:paraId="4118796B" w14:textId="77777777" w:rsidR="00E03A8D" w:rsidRPr="009403DF" w:rsidRDefault="00E03A8D" w:rsidP="004704F9">
            <w:pPr>
              <w:spacing w:line="336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</w:pPr>
            <w:hyperlink w:anchor="ssi" w:tooltip="Sort by swift/bic, A - Z" w:history="1">
              <w:r w:rsidRPr="009403DF"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Correspondent S</w:t>
              </w:r>
              <w:r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WIFT</w:t>
              </w:r>
              <w:r w:rsidRPr="009403DF"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/BIC</w:t>
              </w:r>
            </w:hyperlink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A1A1A1"/>
              <w:right w:val="single" w:sz="6" w:space="0" w:color="A1A1A1"/>
            </w:tcBorders>
            <w:shd w:val="clear" w:color="auto" w:fill="929292"/>
            <w:tcMar>
              <w:top w:w="45" w:type="dxa"/>
              <w:left w:w="90" w:type="dxa"/>
              <w:bottom w:w="90" w:type="dxa"/>
              <w:right w:w="90" w:type="dxa"/>
            </w:tcMar>
            <w:vAlign w:val="center"/>
          </w:tcPr>
          <w:p w14:paraId="62F6D25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  <w:t>Additional Routing Info</w:t>
            </w: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A1A1A1"/>
              <w:right w:val="single" w:sz="6" w:space="0" w:color="A1A1A1"/>
            </w:tcBorders>
            <w:shd w:val="clear" w:color="auto" w:fill="929292"/>
            <w:tcMar>
              <w:top w:w="45" w:type="dxa"/>
              <w:left w:w="90" w:type="dxa"/>
              <w:bottom w:w="90" w:type="dxa"/>
              <w:right w:w="90" w:type="dxa"/>
            </w:tcMar>
            <w:vAlign w:val="center"/>
          </w:tcPr>
          <w:p w14:paraId="31EF3C1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</w:pPr>
            <w:hyperlink w:anchor="ssi" w:tooltip="Sort by Commercial Payments, CP first, Currency A-Z" w:history="1">
              <w:r w:rsidRPr="009403DF"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CP</w:t>
              </w:r>
            </w:hyperlink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A1A1A1"/>
              <w:right w:val="single" w:sz="6" w:space="0" w:color="A1A1A1"/>
            </w:tcBorders>
            <w:shd w:val="clear" w:color="auto" w:fill="929292"/>
            <w:tcMar>
              <w:top w:w="45" w:type="dxa"/>
              <w:left w:w="90" w:type="dxa"/>
              <w:bottom w:w="90" w:type="dxa"/>
              <w:right w:w="90" w:type="dxa"/>
            </w:tcMar>
            <w:vAlign w:val="center"/>
          </w:tcPr>
          <w:p w14:paraId="41E180A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</w:pPr>
            <w:hyperlink w:anchor="ssi" w:tooltip="Sort by Foreign Exchange, FX first, Currency A-Z" w:history="1">
              <w:r w:rsidRPr="009403DF"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FX</w:t>
              </w:r>
            </w:hyperlink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A1A1A1"/>
              <w:right w:val="single" w:sz="6" w:space="0" w:color="A1A1A1"/>
            </w:tcBorders>
            <w:shd w:val="clear" w:color="auto" w:fill="929292"/>
            <w:tcMar>
              <w:top w:w="45" w:type="dxa"/>
              <w:left w:w="90" w:type="dxa"/>
              <w:bottom w:w="90" w:type="dxa"/>
              <w:right w:w="90" w:type="dxa"/>
            </w:tcMar>
            <w:vAlign w:val="center"/>
          </w:tcPr>
          <w:p w14:paraId="0311138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</w:pPr>
            <w:hyperlink w:anchor="ssi" w:tooltip="Sort by Money Markets, MM first, Currency A-Z" w:history="1">
              <w:r w:rsidRPr="009403DF"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MM</w:t>
              </w:r>
            </w:hyperlink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A1A1A1"/>
              <w:right w:val="single" w:sz="6" w:space="0" w:color="A1A1A1"/>
            </w:tcBorders>
            <w:shd w:val="clear" w:color="auto" w:fill="929292"/>
            <w:tcMar>
              <w:top w:w="45" w:type="dxa"/>
              <w:left w:w="90" w:type="dxa"/>
              <w:bottom w:w="90" w:type="dxa"/>
              <w:right w:w="90" w:type="dxa"/>
            </w:tcMar>
            <w:vAlign w:val="center"/>
          </w:tcPr>
          <w:p w14:paraId="412811B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  <w:lang w:eastAsia="en-GB"/>
              </w:rPr>
            </w:pPr>
            <w:hyperlink w:anchor="ssi" w:tooltip="Sort by other product types, A - Z" w:history="1">
              <w:r w:rsidRPr="009403DF">
                <w:rPr>
                  <w:rFonts w:ascii="Verdana" w:hAnsi="Verdana"/>
                  <w:b/>
                  <w:bCs/>
                  <w:color w:val="FFFFFF"/>
                  <w:sz w:val="17"/>
                  <w:szCs w:val="17"/>
                  <w:lang w:eastAsia="en-GB"/>
                </w:rPr>
                <w:t>Other</w:t>
              </w:r>
            </w:hyperlink>
          </w:p>
        </w:tc>
      </w:tr>
      <w:tr w:rsidR="00E03A8D" w:rsidRPr="009403DF" w14:paraId="747DE3AB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0EA04E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AED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CCADF2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*Emirates NBD Bank PJSC,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Dubai City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DE058E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EBIL AE AD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2BE649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D24C45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68C801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71ADE5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CD00C8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27CF52AA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C9419A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AED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8A8B8F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Abu Dhabi Islamic Bank,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Abu Dhabi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BCCB66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ABDI AE AD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77E126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A96331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F33FD6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88D741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5AC8DF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6A549CCD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7A308F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AED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49CCBD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Al Salam Bank-Bahrain B.S.C,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Manama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E43FF1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ALSA BH BM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19D2FD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640AD2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A3ED86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7FFDD3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DD61E4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280B9984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B104CD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AED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B60FBA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Dubai Islamic Bank PJSC,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Dubai City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2A2C87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DUIB AE AD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9F1BA8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98C939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10718E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853BC0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F61050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22F72822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00D35F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AUD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5DC3CD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D16E47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247737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A26361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6F6B6C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1CDB0C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B0391A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606DEE12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ECB54D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BHD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983FBE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*Al Salam Bank-Bahrain B.S.C,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Manama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762ACC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ALSA BH BM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F8BE19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459D1F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D7E8F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A10FA1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857EEB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206F491B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45311A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CAD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1D97A8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F3E69E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870B89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766BA1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AFE15D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099B5C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3DE40F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32B4EF12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8545C1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CHF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75D1D2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A33637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07AA17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B91540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1509B4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C61E8B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32A240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649D6DB8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24446C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CNY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05D085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*Bank of China Limited,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Shanghai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C1560E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BKCH CN BJ S00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B331E1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31522B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CE22E6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C1A464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70637F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0734D17F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687232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CNY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95B896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7B3C54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6A52FB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Trading as CNH and CNY</w:t>
            </w: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A23FB9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177724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E66C30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7551C8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5571C092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055B62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lastRenderedPageBreak/>
              <w:t>EUR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33AA94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*Commerzbank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C7DB75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DEFE35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6F267A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C7FA86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86CEB8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594B85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4A706320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7F5736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EUR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E58685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Al Salam Bank-Bahrain B.S.C,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Manama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0A7C77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ALSA BH BM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F9C15C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1FCE65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E1E3A8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8B918F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FFFFBE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7C56DA87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97AD1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EUR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9D8763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Albaraka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 Türk </w:t>
            </w: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Katilim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 </w:t>
            </w: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Bankasi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 AS,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Istanbul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03B150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BTFH TR IS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5A2CEF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1E9B0C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D2F386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793A22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5C0B11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741FE35E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B0A742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EUR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B164FB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Banca UBAE </w:t>
            </w: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SpA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Rome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1FDC42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UBAI IT RR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F5AD26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A458E4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9703F1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231348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4B879A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440C0D65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66275F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EUR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A54AFC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Bank of Beirut (UK) Ltd,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London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DE8CC8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BRBA GB 2L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6FAF8F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52EC05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D9515C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B7072A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3EADC2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2587613E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E453CB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EUR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136E17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BPER Banca </w:t>
            </w: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SpA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Modena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17479C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BPMO IT 22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C70C88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DCA6E7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9FDF92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F4CCA5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FFBAF7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0A542A91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5AA487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EUR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0ABA96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8E543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340C71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722F39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2E76B6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FX</w:t>
            </w: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30F305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8BD899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631FA043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9F1C5C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EUR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B3E547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UniCredit 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Munich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13B30E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HYVE DE MM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6CFAEF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877F12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C6C351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E3CD8B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F51E08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60825E7E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F5428E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GBP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AB1AB0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CFA796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010C3D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E36750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A35ABD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80D7C4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8661D6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01199CB2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46FE77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JOD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0F4B9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Jordan Islamic Bank,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Amman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9D4DD9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JIBA JO AM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646BB7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29349A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77D820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F32CA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003E94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7A41EDAA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E9CFFD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JOD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81027F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The Housing Bank for Trade &amp; Finance,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Amman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ED9DE8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HBHO JO AX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73B036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DFEC49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1C8887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528B64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5E62C6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5194B4F6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E477DD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JPY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7B31D9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*Sumitomo Mitsui Banking Corporation,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Tokyo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D82C8B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SMBC JP JT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D5B5B1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4C355A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4BACE8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D90D9B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8FC494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703D2F72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0EF1EB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JPY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07AABD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D1F7B5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BCBE52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8236DE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23CE5A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54224B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588129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7FDFEA39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652226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NZD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7FE71C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Commerzbank AG,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Frankfurt am Main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760C21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COBA DE FF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60255B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29F9FF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0C8364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BD5EA3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88776A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65A9362D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C29978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OMR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2A7C60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Al Salam Bank-Bahrain B.S.C,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Manama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964D12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ALSA BH BM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BB8EAD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015DE8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20678C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FX</w:t>
            </w: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D54F3D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F1B4EC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45E840BB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790440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OMR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48F692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BankMuscat SAOG, </w:t>
            </w:r>
            <w:proofErr w:type="spellStart"/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Seeb</w:t>
            </w:r>
            <w:proofErr w:type="spellEnd"/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CC30E5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BMUS OM RX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209C00D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B197F3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C32990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C24996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31DB65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6B3C72F0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A0810B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OMR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275FA9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Sohar International Bank SAOG,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Muscat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31B896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BSHR OM RU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272719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B7C3A1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7CC8F6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DA5DAC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EC6C9E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0CC7516B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912611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lastRenderedPageBreak/>
              <w:t>SAR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1238B9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*Banque Saudi </w:t>
            </w: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Fransi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Riyadh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BAF10B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BSFR SA RI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6206BA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4CE002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DE83A3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10D773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CA2634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11AF1056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58B394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SAR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922517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Al Salam Bank-Bahrain B.S.C,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Manama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49BD378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ALSA BH BM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90C4D87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80710F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222437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78342D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1A7E95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71791A2F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4127E6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SAR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87C9A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Alinma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 Bank,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Riyadh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84FC0C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INMA SA RI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6A3FD4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C380B84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D1EC3C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049C12C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88495F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0AC122C3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DEE82E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SAR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22074E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Bank </w:t>
            </w: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AlBilad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Riyadh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2321A2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ALBI SA RI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72278FA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087DFB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79F5C7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7AAC59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D6A86C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438523D2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E5F5B9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SAR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B49BE5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The National Commercial Bank,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Jeddah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719086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NCBK SA JE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664DCC5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6763A9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0B3C36B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B5CE206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557C74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  <w:tr w:rsidR="00E03A8D" w:rsidRPr="009403DF" w14:paraId="67D7CD55" w14:textId="77777777" w:rsidTr="00AA1E99">
        <w:trPr>
          <w:tblCellSpacing w:w="0" w:type="dxa"/>
        </w:trPr>
        <w:tc>
          <w:tcPr>
            <w:tcW w:w="24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5BC0322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TRY</w:t>
            </w:r>
          </w:p>
        </w:tc>
        <w:tc>
          <w:tcPr>
            <w:tcW w:w="183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8D11301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Albaraka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 Türk </w:t>
            </w: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Katilim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 </w:t>
            </w:r>
            <w:proofErr w:type="spellStart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>Bankasi</w:t>
            </w:r>
            <w:proofErr w:type="spellEnd"/>
            <w:r w:rsidRPr="009403DF">
              <w:rPr>
                <w:rFonts w:ascii="Verdana" w:hAnsi="Verdana"/>
                <w:b/>
                <w:bCs/>
                <w:color w:val="0492C7"/>
                <w:sz w:val="17"/>
                <w:szCs w:val="17"/>
                <w:lang w:eastAsia="en-GB"/>
              </w:rPr>
              <w:t xml:space="preserve"> AS, </w:t>
            </w: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Istanbul</w:t>
            </w:r>
          </w:p>
        </w:tc>
        <w:tc>
          <w:tcPr>
            <w:tcW w:w="1093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7D2FD8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BTFH TR IS</w:t>
            </w:r>
          </w:p>
        </w:tc>
        <w:tc>
          <w:tcPr>
            <w:tcW w:w="965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4552119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181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0E39BFE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  <w:r w:rsidRPr="009403DF"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  <w:t>CP</w:t>
            </w:r>
          </w:p>
        </w:tc>
        <w:tc>
          <w:tcPr>
            <w:tcW w:w="178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6E425EF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10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9900050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296" w:type="pct"/>
            <w:tcBorders>
              <w:top w:val="single" w:sz="6" w:space="0" w:color="EBEAEA"/>
              <w:left w:val="single" w:sz="6" w:space="0" w:color="EBEAEA"/>
              <w:bottom w:val="single" w:sz="6" w:space="0" w:color="EBEAEA"/>
              <w:right w:val="single" w:sz="6" w:space="0" w:color="EBEAEA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468E9A3" w14:textId="77777777" w:rsidR="00E03A8D" w:rsidRPr="009403DF" w:rsidRDefault="00E03A8D" w:rsidP="009403DF">
            <w:pPr>
              <w:spacing w:line="336" w:lineRule="atLeast"/>
              <w:rPr>
                <w:rFonts w:ascii="Verdana" w:hAnsi="Verdana"/>
                <w:color w:val="222222"/>
                <w:sz w:val="17"/>
                <w:szCs w:val="17"/>
                <w:lang w:eastAsia="en-GB"/>
              </w:rPr>
            </w:pPr>
          </w:p>
        </w:tc>
      </w:tr>
    </w:tbl>
    <w:p w14:paraId="5CED1BC8" w14:textId="77777777" w:rsidR="00CF49AF" w:rsidRDefault="00CF49AF"/>
    <w:sectPr w:rsidR="00CF49AF" w:rsidSect="00C267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9628" w14:textId="77777777" w:rsidR="00A25D8A" w:rsidRDefault="006976F3">
      <w:pPr>
        <w:spacing w:line="240" w:lineRule="auto"/>
      </w:pPr>
      <w:r>
        <w:separator/>
      </w:r>
    </w:p>
  </w:endnote>
  <w:endnote w:type="continuationSeparator" w:id="0">
    <w:p w14:paraId="30D6C8C5" w14:textId="77777777" w:rsidR="00A25D8A" w:rsidRDefault="00697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A2B3" w14:textId="77777777" w:rsidR="00A25D8A" w:rsidRDefault="006976F3">
      <w:pPr>
        <w:spacing w:line="240" w:lineRule="auto"/>
      </w:pPr>
      <w:r>
        <w:separator/>
      </w:r>
    </w:p>
  </w:footnote>
  <w:footnote w:type="continuationSeparator" w:id="0">
    <w:p w14:paraId="02BCBAD8" w14:textId="77777777" w:rsidR="00A25D8A" w:rsidRDefault="00697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EDE" w14:textId="77777777" w:rsidR="0031044A" w:rsidRPr="0031044A" w:rsidRDefault="006976F3" w:rsidP="0031044A">
    <w:pPr>
      <w:jc w:val="center"/>
      <w:rPr>
        <w:rFonts w:ascii="Verdana" w:hAnsi="Verdana"/>
        <w:b/>
        <w:sz w:val="32"/>
        <w:szCs w:val="32"/>
      </w:rPr>
    </w:pPr>
    <w:r w:rsidRPr="0031044A">
      <w:rPr>
        <w:rFonts w:ascii="Verdana" w:hAnsi="Verdana"/>
        <w:b/>
        <w:sz w:val="32"/>
        <w:szCs w:val="32"/>
      </w:rPr>
      <w:t>STANDARD SETTLEMENT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DF"/>
    <w:rsid w:val="000045EB"/>
    <w:rsid w:val="00093A2A"/>
    <w:rsid w:val="0021077E"/>
    <w:rsid w:val="00240DB6"/>
    <w:rsid w:val="002E55A3"/>
    <w:rsid w:val="00371A8A"/>
    <w:rsid w:val="004704F9"/>
    <w:rsid w:val="004900C9"/>
    <w:rsid w:val="006976F3"/>
    <w:rsid w:val="007325E3"/>
    <w:rsid w:val="00823966"/>
    <w:rsid w:val="00860BCE"/>
    <w:rsid w:val="00877DD9"/>
    <w:rsid w:val="009403DF"/>
    <w:rsid w:val="00A25D8A"/>
    <w:rsid w:val="00A7585E"/>
    <w:rsid w:val="00AA1E99"/>
    <w:rsid w:val="00BC2673"/>
    <w:rsid w:val="00C2676E"/>
    <w:rsid w:val="00CF1825"/>
    <w:rsid w:val="00CF49AF"/>
    <w:rsid w:val="00D609B8"/>
    <w:rsid w:val="00E03A8D"/>
    <w:rsid w:val="00EB2150"/>
    <w:rsid w:val="00F11FAA"/>
    <w:rsid w:val="00F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771944"/>
  <w15:docId w15:val="{0E8456CE-5117-4D3A-9D89-6DD220A5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76E"/>
    <w:pPr>
      <w:spacing w:line="276" w:lineRule="auto"/>
    </w:pPr>
    <w:rPr>
      <w:rFonts w:eastAsia="Times New Roman"/>
      <w:lang w:eastAsia="en-US"/>
    </w:rPr>
  </w:style>
  <w:style w:type="paragraph" w:styleId="Heading2">
    <w:name w:val="heading 2"/>
    <w:basedOn w:val="Normal"/>
    <w:link w:val="Heading2Char1"/>
    <w:uiPriority w:val="99"/>
    <w:qFormat/>
    <w:rsid w:val="009403DF"/>
    <w:pPr>
      <w:spacing w:line="240" w:lineRule="auto"/>
      <w:outlineLvl w:val="1"/>
    </w:pPr>
    <w:rPr>
      <w:rFonts w:ascii="Georgia" w:eastAsia="Calibri" w:hAnsi="Georgia"/>
      <w:b/>
      <w:bCs/>
      <w:color w:val="515151"/>
      <w:sz w:val="43"/>
      <w:szCs w:val="4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403DF"/>
    <w:rPr>
      <w:rFonts w:ascii="Georgia" w:hAnsi="Georgia" w:cs="Times New Roman"/>
      <w:b/>
      <w:bCs/>
      <w:color w:val="515151"/>
      <w:sz w:val="43"/>
      <w:szCs w:val="43"/>
      <w:lang w:eastAsia="en-GB"/>
    </w:rPr>
  </w:style>
  <w:style w:type="character" w:styleId="Strong">
    <w:name w:val="Strong"/>
    <w:basedOn w:val="DefaultParagraphFont"/>
    <w:uiPriority w:val="99"/>
    <w:qFormat/>
    <w:rsid w:val="009403DF"/>
    <w:rPr>
      <w:rFonts w:cs="Times New Roman"/>
      <w:b/>
      <w:bCs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9403DF"/>
    <w:pPr>
      <w:pBdr>
        <w:bottom w:val="single" w:sz="6" w:space="1" w:color="auto"/>
      </w:pBdr>
      <w:spacing w:line="240" w:lineRule="auto"/>
      <w:jc w:val="center"/>
    </w:pPr>
    <w:rPr>
      <w:rFonts w:ascii="Arial" w:eastAsia="Calibri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9403DF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9403DF"/>
    <w:pPr>
      <w:pBdr>
        <w:top w:val="single" w:sz="6" w:space="1" w:color="auto"/>
      </w:pBdr>
      <w:spacing w:line="240" w:lineRule="auto"/>
      <w:jc w:val="center"/>
    </w:pPr>
    <w:rPr>
      <w:rFonts w:ascii="Arial" w:eastAsia="Calibri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9403DF"/>
    <w:rPr>
      <w:rFonts w:ascii="Arial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C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63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63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FB68-B54C-481F-A7E4-E20770E9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445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Banca CR Firenze SpA</vt:lpstr>
    </vt:vector>
  </TitlesOfParts>
  <Company>Reed Elsevier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 CR Firenze SpA</dc:title>
  <dc:subject/>
  <dc:creator>akhtar</dc:creator>
  <cp:keywords/>
  <dc:description/>
  <cp:lastModifiedBy>Merfat Ahmed</cp:lastModifiedBy>
  <cp:revision>3</cp:revision>
  <dcterms:created xsi:type="dcterms:W3CDTF">2022-10-11T08:34:00Z</dcterms:created>
  <dcterms:modified xsi:type="dcterms:W3CDTF">2022-10-11T08:57:00Z</dcterms:modified>
</cp:coreProperties>
</file>